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1"/>
        <w:tblW w:w="5000" w:type="pct"/>
        <w:tblLook w:val="04A0" w:firstRow="1" w:lastRow="0" w:firstColumn="1" w:lastColumn="0" w:noHBand="0" w:noVBand="1"/>
      </w:tblPr>
      <w:tblGrid>
        <w:gridCol w:w="2488"/>
        <w:gridCol w:w="6439"/>
        <w:gridCol w:w="4104"/>
        <w:gridCol w:w="3247"/>
        <w:gridCol w:w="6752"/>
      </w:tblGrid>
      <w:tr w:rsidR="00D73CDD" w:rsidRPr="00EA3948" w14:paraId="2F0CA396" w14:textId="77777777" w:rsidTr="006D499D">
        <w:trPr>
          <w:cnfStyle w:val="100000000000" w:firstRow="1" w:lastRow="0" w:firstColumn="0" w:lastColumn="0" w:oddVBand="0" w:evenVBand="0" w:oddHBand="0" w:evenHBand="0" w:firstRowFirstColumn="0" w:firstRowLastColumn="0" w:lastRowFirstColumn="0" w:lastRowLastColumn="0"/>
          <w:cantSplit/>
          <w:trHeight w:val="285"/>
          <w:tblHeader/>
        </w:trPr>
        <w:tc>
          <w:tcPr>
            <w:cnfStyle w:val="001000000000" w:firstRow="0" w:lastRow="0" w:firstColumn="1" w:lastColumn="0" w:oddVBand="0" w:evenVBand="0" w:oddHBand="0" w:evenHBand="0" w:firstRowFirstColumn="0" w:firstRowLastColumn="0" w:lastRowFirstColumn="0" w:lastRowLastColumn="0"/>
            <w:tcW w:w="1937" w:type="pct"/>
            <w:gridSpan w:val="2"/>
            <w:shd w:val="clear" w:color="auto" w:fill="D9E2F3" w:themeFill="accent1" w:themeFillTint="33"/>
            <w:vAlign w:val="bottom"/>
            <w:hideMark/>
          </w:tcPr>
          <w:p w14:paraId="4EF1663F" w14:textId="37923DE0" w:rsidR="001D0533" w:rsidRPr="00EA3948" w:rsidRDefault="001D0533" w:rsidP="00786419">
            <w:r w:rsidRPr="00EA3948">
              <w:t>Minimum Reopening Requirements</w:t>
            </w:r>
            <w:r>
              <w:rPr>
                <w:b w:val="0"/>
                <w:bCs w:val="0"/>
              </w:rPr>
              <w:br/>
            </w:r>
            <w:r w:rsidRPr="00EA3948">
              <w:t>Reference: Order 2020-215 Version 1.2; May 11, 2020</w:t>
            </w:r>
          </w:p>
        </w:tc>
        <w:tc>
          <w:tcPr>
            <w:tcW w:w="891" w:type="pct"/>
            <w:shd w:val="clear" w:color="auto" w:fill="D9E2F3" w:themeFill="accent1" w:themeFillTint="33"/>
            <w:vAlign w:val="bottom"/>
            <w:hideMark/>
          </w:tcPr>
          <w:p w14:paraId="1DEC5761" w14:textId="3685BFC5" w:rsidR="001D0533" w:rsidRPr="00EA3948" w:rsidRDefault="00852E3C" w:rsidP="00786419">
            <w:pPr>
              <w:cnfStyle w:val="100000000000" w:firstRow="1" w:lastRow="0" w:firstColumn="0" w:lastColumn="0" w:oddVBand="0" w:evenVBand="0" w:oddHBand="0" w:evenHBand="0" w:firstRowFirstColumn="0" w:firstRowLastColumn="0" w:lastRowFirstColumn="0" w:lastRowLastColumn="0"/>
            </w:pPr>
            <w:r>
              <w:t>Current State</w:t>
            </w:r>
          </w:p>
        </w:tc>
        <w:tc>
          <w:tcPr>
            <w:tcW w:w="705" w:type="pct"/>
            <w:shd w:val="clear" w:color="auto" w:fill="D9E2F3" w:themeFill="accent1" w:themeFillTint="33"/>
            <w:vAlign w:val="bottom"/>
            <w:hideMark/>
          </w:tcPr>
          <w:p w14:paraId="0EE0EB93" w14:textId="2C7C058D" w:rsidR="001D0533" w:rsidRPr="00EA3948" w:rsidRDefault="002A0454" w:rsidP="00786419">
            <w:pPr>
              <w:cnfStyle w:val="100000000000" w:firstRow="1" w:lastRow="0" w:firstColumn="0" w:lastColumn="0" w:oddVBand="0" w:evenVBand="0" w:oddHBand="0" w:evenHBand="0" w:firstRowFirstColumn="0" w:firstRowLastColumn="0" w:lastRowFirstColumn="0" w:lastRowLastColumn="0"/>
            </w:pPr>
            <w:r>
              <w:t>Gaps &amp; Exposures</w:t>
            </w:r>
          </w:p>
        </w:tc>
        <w:tc>
          <w:tcPr>
            <w:tcW w:w="1467" w:type="pct"/>
            <w:shd w:val="clear" w:color="auto" w:fill="D9E2F3" w:themeFill="accent1" w:themeFillTint="33"/>
            <w:vAlign w:val="bottom"/>
            <w:hideMark/>
          </w:tcPr>
          <w:p w14:paraId="65BA16E1" w14:textId="2EB98946" w:rsidR="001D0533" w:rsidRPr="00EA3948" w:rsidRDefault="002A0454" w:rsidP="00786419">
            <w:pPr>
              <w:cnfStyle w:val="100000000000" w:firstRow="1" w:lastRow="0" w:firstColumn="0" w:lastColumn="0" w:oddVBand="0" w:evenVBand="0" w:oddHBand="0" w:evenHBand="0" w:firstRowFirstColumn="0" w:firstRowLastColumn="0" w:lastRowFirstColumn="0" w:lastRowLastColumn="0"/>
            </w:pPr>
            <w:r>
              <w:t xml:space="preserve">Recommendations </w:t>
            </w:r>
          </w:p>
        </w:tc>
      </w:tr>
      <w:tr w:rsidR="004F70A9" w:rsidRPr="00EA3948" w14:paraId="5F3DB6F0" w14:textId="77777777" w:rsidTr="006D499D">
        <w:trPr>
          <w:cantSplit/>
          <w:trHeight w:val="525"/>
        </w:trPr>
        <w:tc>
          <w:tcPr>
            <w:cnfStyle w:val="001000000000" w:firstRow="0" w:lastRow="0" w:firstColumn="1" w:lastColumn="0" w:oddVBand="0" w:evenVBand="0" w:oddHBand="0" w:evenHBand="0" w:firstRowFirstColumn="0" w:firstRowLastColumn="0" w:lastRowFirstColumn="0" w:lastRowLastColumn="0"/>
            <w:tcW w:w="540" w:type="pct"/>
            <w:hideMark/>
          </w:tcPr>
          <w:p w14:paraId="12EC6FE9" w14:textId="77777777" w:rsidR="00EA3948" w:rsidRPr="00EA3948" w:rsidRDefault="00EA3948" w:rsidP="00591441">
            <w:pPr>
              <w:numPr>
                <w:ilvl w:val="0"/>
                <w:numId w:val="1"/>
              </w:numPr>
              <w:rPr>
                <w:rFonts w:ascii="Arial" w:eastAsia="Times New Roman" w:hAnsi="Arial" w:cs="Arial"/>
                <w:color w:val="000000"/>
                <w:sz w:val="18"/>
                <w:szCs w:val="18"/>
              </w:rPr>
            </w:pPr>
            <w:r w:rsidRPr="00EA3948">
              <w:rPr>
                <w:rFonts w:ascii="Arial" w:eastAsia="Times New Roman" w:hAnsi="Arial" w:cs="Arial"/>
                <w:color w:val="000000"/>
                <w:sz w:val="18"/>
                <w:szCs w:val="18"/>
              </w:rPr>
              <w:t>Continued Telework</w:t>
            </w:r>
          </w:p>
        </w:tc>
        <w:tc>
          <w:tcPr>
            <w:tcW w:w="1398" w:type="pct"/>
            <w:hideMark/>
          </w:tcPr>
          <w:p w14:paraId="138DFCE3" w14:textId="77777777" w:rsidR="00EA3948" w:rsidRPr="00EA3948" w:rsidRDefault="00EA3948" w:rsidP="00EA39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A3948">
              <w:rPr>
                <w:rFonts w:ascii="Arial" w:eastAsia="Times New Roman" w:hAnsi="Arial" w:cs="Arial"/>
                <w:color w:val="000000"/>
                <w:sz w:val="18"/>
                <w:szCs w:val="18"/>
              </w:rPr>
              <w:t>Where possible, entities should operate via phone or Internet to the greatest extent practicable. Employees who are able to perform their job duties via telework (phone or Internet) must continue to telework.</w:t>
            </w:r>
          </w:p>
        </w:tc>
        <w:tc>
          <w:tcPr>
            <w:tcW w:w="891" w:type="pct"/>
          </w:tcPr>
          <w:p w14:paraId="492B4FA1" w14:textId="4B5D4357" w:rsidR="00EA3948" w:rsidRPr="00EA3948" w:rsidRDefault="00EA3948" w:rsidP="00EA39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705" w:type="pct"/>
          </w:tcPr>
          <w:p w14:paraId="1D9AB20D" w14:textId="319F67C8" w:rsidR="00EA3948" w:rsidRPr="00EA3948" w:rsidRDefault="00EA3948" w:rsidP="00EA39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467" w:type="pct"/>
          </w:tcPr>
          <w:p w14:paraId="52AD590A" w14:textId="77777777" w:rsidR="00EA3948" w:rsidRPr="00EA3948" w:rsidRDefault="00EA3948" w:rsidP="002812D8">
            <w:pPr>
              <w:numPr>
                <w:ilvl w:val="0"/>
                <w:numId w:val="4"/>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4F70A9" w:rsidRPr="00EA3948" w14:paraId="66F4B875" w14:textId="77777777" w:rsidTr="006D499D">
        <w:trPr>
          <w:cantSplit/>
          <w:trHeight w:val="780"/>
        </w:trPr>
        <w:tc>
          <w:tcPr>
            <w:cnfStyle w:val="001000000000" w:firstRow="0" w:lastRow="0" w:firstColumn="1" w:lastColumn="0" w:oddVBand="0" w:evenVBand="0" w:oddHBand="0" w:evenHBand="0" w:firstRowFirstColumn="0" w:firstRowLastColumn="0" w:lastRowFirstColumn="0" w:lastRowLastColumn="0"/>
            <w:tcW w:w="540" w:type="pct"/>
            <w:hideMark/>
          </w:tcPr>
          <w:p w14:paraId="724228A4" w14:textId="77777777" w:rsidR="00EA3948" w:rsidRPr="00EA3948" w:rsidRDefault="00EA3948" w:rsidP="00591441">
            <w:pPr>
              <w:numPr>
                <w:ilvl w:val="0"/>
                <w:numId w:val="1"/>
              </w:numPr>
              <w:rPr>
                <w:rFonts w:ascii="Arial" w:eastAsia="Times New Roman" w:hAnsi="Arial" w:cs="Arial"/>
                <w:color w:val="000000"/>
                <w:sz w:val="18"/>
                <w:szCs w:val="18"/>
              </w:rPr>
            </w:pPr>
            <w:r w:rsidRPr="00EA3948">
              <w:rPr>
                <w:rFonts w:ascii="Arial" w:eastAsia="Times New Roman" w:hAnsi="Arial" w:cs="Arial"/>
                <w:color w:val="000000"/>
                <w:sz w:val="18"/>
                <w:szCs w:val="18"/>
              </w:rPr>
              <w:t>Phased Return to Work</w:t>
            </w:r>
          </w:p>
        </w:tc>
        <w:tc>
          <w:tcPr>
            <w:tcW w:w="1398" w:type="pct"/>
            <w:hideMark/>
          </w:tcPr>
          <w:p w14:paraId="6F1E05C0" w14:textId="125693EB" w:rsidR="00EA3948" w:rsidRPr="00EA3948" w:rsidRDefault="00EA3948" w:rsidP="00EA39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A3948">
              <w:rPr>
                <w:rFonts w:ascii="Arial" w:eastAsia="Times New Roman" w:hAnsi="Arial" w:cs="Arial"/>
                <w:color w:val="000000"/>
                <w:sz w:val="18"/>
                <w:szCs w:val="18"/>
              </w:rPr>
              <w:t>Entities are encouraged to implement a phased return to work, including generous telework, sick leave, and family leave policies for those employees who are not able to come into work due to illness, taking care of a family member(s), or lack of child</w:t>
            </w:r>
            <w:r w:rsidR="00291AF5" w:rsidRPr="005F7098">
              <w:rPr>
                <w:rFonts w:ascii="Arial" w:eastAsia="Times New Roman" w:hAnsi="Arial" w:cs="Arial"/>
                <w:color w:val="000000"/>
                <w:sz w:val="18"/>
                <w:szCs w:val="18"/>
              </w:rPr>
              <w:t xml:space="preserve"> </w:t>
            </w:r>
            <w:r w:rsidRPr="00EA3948">
              <w:rPr>
                <w:rFonts w:ascii="Arial" w:eastAsia="Times New Roman" w:hAnsi="Arial" w:cs="Arial"/>
                <w:color w:val="000000"/>
                <w:sz w:val="18"/>
                <w:szCs w:val="18"/>
              </w:rPr>
              <w:t>care</w:t>
            </w:r>
            <w:r w:rsidR="00291AF5" w:rsidRPr="005F7098">
              <w:rPr>
                <w:rFonts w:ascii="Arial" w:eastAsia="Times New Roman" w:hAnsi="Arial" w:cs="Arial"/>
                <w:color w:val="000000"/>
                <w:sz w:val="18"/>
                <w:szCs w:val="18"/>
              </w:rPr>
              <w:t xml:space="preserve"> </w:t>
            </w:r>
            <w:r w:rsidRPr="00EA3948">
              <w:rPr>
                <w:rFonts w:ascii="Arial" w:eastAsia="Times New Roman" w:hAnsi="Arial" w:cs="Arial"/>
                <w:color w:val="000000"/>
                <w:sz w:val="18"/>
                <w:szCs w:val="18"/>
              </w:rPr>
              <w:t>options.</w:t>
            </w:r>
          </w:p>
        </w:tc>
        <w:tc>
          <w:tcPr>
            <w:tcW w:w="891" w:type="pct"/>
          </w:tcPr>
          <w:p w14:paraId="6DCF7F6C" w14:textId="36518A48" w:rsidR="00EA3948" w:rsidRPr="00EA3948" w:rsidRDefault="00EA3948" w:rsidP="00EA39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705" w:type="pct"/>
          </w:tcPr>
          <w:p w14:paraId="4C5848FF" w14:textId="07933B2B" w:rsidR="00EA3948" w:rsidRPr="00EA3948" w:rsidRDefault="00EA3948" w:rsidP="00EA39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467" w:type="pct"/>
          </w:tcPr>
          <w:p w14:paraId="71F534BA" w14:textId="4BF816E5" w:rsidR="00EA3948" w:rsidRPr="00EA3948" w:rsidRDefault="00EA3948" w:rsidP="003811D4">
            <w:pPr>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EA3053" w:rsidRPr="00EA3948" w14:paraId="7D6BAF41" w14:textId="77777777" w:rsidTr="006D499D">
        <w:trPr>
          <w:cantSplit/>
          <w:trHeight w:val="780"/>
        </w:trPr>
        <w:tc>
          <w:tcPr>
            <w:cnfStyle w:val="001000000000" w:firstRow="0" w:lastRow="0" w:firstColumn="1" w:lastColumn="0" w:oddVBand="0" w:evenVBand="0" w:oddHBand="0" w:evenHBand="0" w:firstRowFirstColumn="0" w:firstRowLastColumn="0" w:lastRowFirstColumn="0" w:lastRowLastColumn="0"/>
            <w:tcW w:w="540" w:type="pct"/>
            <w:hideMark/>
          </w:tcPr>
          <w:p w14:paraId="55554821" w14:textId="77777777" w:rsidR="00EA3948" w:rsidRPr="00EA3948" w:rsidRDefault="00EA3948" w:rsidP="00591441">
            <w:pPr>
              <w:numPr>
                <w:ilvl w:val="0"/>
                <w:numId w:val="1"/>
              </w:numPr>
              <w:rPr>
                <w:rFonts w:ascii="Arial" w:eastAsia="Times New Roman" w:hAnsi="Arial" w:cs="Arial"/>
                <w:color w:val="000000"/>
                <w:sz w:val="18"/>
                <w:szCs w:val="18"/>
              </w:rPr>
            </w:pPr>
            <w:r w:rsidRPr="00EA3948">
              <w:rPr>
                <w:rFonts w:ascii="Arial" w:eastAsia="Times New Roman" w:hAnsi="Arial" w:cs="Arial"/>
                <w:color w:val="000000"/>
                <w:sz w:val="18"/>
                <w:szCs w:val="18"/>
              </w:rPr>
              <w:t>Enforced Social Distancing</w:t>
            </w:r>
          </w:p>
        </w:tc>
        <w:tc>
          <w:tcPr>
            <w:tcW w:w="1398" w:type="pct"/>
            <w:hideMark/>
          </w:tcPr>
          <w:p w14:paraId="43BCFBD8" w14:textId="207A0153" w:rsidR="00EA3948" w:rsidRPr="00EA3948" w:rsidRDefault="00EA3948" w:rsidP="00EA39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A3948">
              <w:rPr>
                <w:rFonts w:ascii="Arial" w:eastAsia="Times New Roman" w:hAnsi="Arial" w:cs="Arial"/>
                <w:color w:val="000000"/>
                <w:sz w:val="18"/>
                <w:szCs w:val="18"/>
              </w:rPr>
              <w:t>Entities must ensure, to the greatest extent practicable,</w:t>
            </w:r>
            <w:r w:rsidR="00291AF5" w:rsidRPr="005F7098">
              <w:rPr>
                <w:rFonts w:ascii="Arial" w:eastAsia="Times New Roman" w:hAnsi="Arial" w:cs="Arial"/>
                <w:color w:val="000000"/>
                <w:sz w:val="18"/>
                <w:szCs w:val="18"/>
              </w:rPr>
              <w:t xml:space="preserve"> </w:t>
            </w:r>
            <w:r w:rsidRPr="00EA3948">
              <w:rPr>
                <w:rFonts w:ascii="Arial" w:eastAsia="Times New Roman" w:hAnsi="Arial" w:cs="Arial"/>
                <w:color w:val="000000"/>
                <w:sz w:val="18"/>
                <w:szCs w:val="18"/>
              </w:rPr>
              <w:t>that employees who are not able to telework and must be physically present at the office remain a minimum of six (6) feet away from all other employees and</w:t>
            </w:r>
            <w:r w:rsidR="00291AF5" w:rsidRPr="005F7098">
              <w:rPr>
                <w:rFonts w:ascii="Arial" w:eastAsia="Times New Roman" w:hAnsi="Arial" w:cs="Arial"/>
                <w:color w:val="000000"/>
                <w:sz w:val="18"/>
                <w:szCs w:val="18"/>
              </w:rPr>
              <w:t xml:space="preserve"> </w:t>
            </w:r>
            <w:r w:rsidRPr="00EA3948">
              <w:rPr>
                <w:rFonts w:ascii="Arial" w:eastAsia="Times New Roman" w:hAnsi="Arial" w:cs="Arial"/>
                <w:color w:val="000000"/>
                <w:sz w:val="18"/>
                <w:szCs w:val="18"/>
              </w:rPr>
              <w:t xml:space="preserve">customers unless closer interaction is absolutely required to perform their job duties (e.g., health </w:t>
            </w:r>
            <w:r w:rsidR="00434D1A" w:rsidRPr="00EA3948">
              <w:rPr>
                <w:rFonts w:ascii="Arial" w:eastAsia="Times New Roman" w:hAnsi="Arial" w:cs="Arial"/>
                <w:color w:val="000000"/>
                <w:sz w:val="18"/>
                <w:szCs w:val="18"/>
              </w:rPr>
              <w:t>care examinations</w:t>
            </w:r>
            <w:r w:rsidRPr="00EA3948">
              <w:rPr>
                <w:rFonts w:ascii="Arial" w:eastAsia="Times New Roman" w:hAnsi="Arial" w:cs="Arial"/>
                <w:color w:val="000000"/>
                <w:sz w:val="18"/>
                <w:szCs w:val="18"/>
              </w:rPr>
              <w:t>).</w:t>
            </w:r>
          </w:p>
        </w:tc>
        <w:tc>
          <w:tcPr>
            <w:tcW w:w="891" w:type="pct"/>
          </w:tcPr>
          <w:p w14:paraId="44166FDA" w14:textId="61DB032F" w:rsidR="00EA3948" w:rsidRPr="00EA3948" w:rsidRDefault="00EA3948" w:rsidP="00EA39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705" w:type="pct"/>
          </w:tcPr>
          <w:p w14:paraId="2BCDC4A1" w14:textId="4EDBD083" w:rsidR="00EA3948" w:rsidRPr="00EA3948" w:rsidRDefault="00EA3948" w:rsidP="00EA39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467" w:type="pct"/>
          </w:tcPr>
          <w:p w14:paraId="0FFD2471" w14:textId="2E069DAD" w:rsidR="00EA3948" w:rsidRPr="00EA3948" w:rsidRDefault="00EA3948" w:rsidP="003811D4">
            <w:pPr>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4F70A9" w:rsidRPr="00EA3948" w14:paraId="3B8F73B0" w14:textId="77777777" w:rsidTr="006D499D">
        <w:trPr>
          <w:cantSplit/>
          <w:trHeight w:val="525"/>
        </w:trPr>
        <w:tc>
          <w:tcPr>
            <w:cnfStyle w:val="001000000000" w:firstRow="0" w:lastRow="0" w:firstColumn="1" w:lastColumn="0" w:oddVBand="0" w:evenVBand="0" w:oddHBand="0" w:evenHBand="0" w:firstRowFirstColumn="0" w:firstRowLastColumn="0" w:lastRowFirstColumn="0" w:lastRowLastColumn="0"/>
            <w:tcW w:w="540" w:type="pct"/>
            <w:hideMark/>
          </w:tcPr>
          <w:p w14:paraId="272F5743" w14:textId="77777777" w:rsidR="00EA3948" w:rsidRPr="00EA3948" w:rsidRDefault="00EA3948" w:rsidP="00591441">
            <w:pPr>
              <w:numPr>
                <w:ilvl w:val="0"/>
                <w:numId w:val="1"/>
              </w:numPr>
              <w:rPr>
                <w:rFonts w:ascii="Arial" w:eastAsia="Times New Roman" w:hAnsi="Arial" w:cs="Arial"/>
                <w:color w:val="000000"/>
                <w:sz w:val="18"/>
                <w:szCs w:val="18"/>
              </w:rPr>
            </w:pPr>
            <w:r w:rsidRPr="00EA3948">
              <w:rPr>
                <w:rFonts w:ascii="Arial" w:eastAsia="Times New Roman" w:hAnsi="Arial" w:cs="Arial"/>
                <w:color w:val="000000"/>
                <w:sz w:val="18"/>
                <w:szCs w:val="18"/>
              </w:rPr>
              <w:t>Limited Face-to-Face Interaction</w:t>
            </w:r>
          </w:p>
        </w:tc>
        <w:tc>
          <w:tcPr>
            <w:tcW w:w="1398" w:type="pct"/>
            <w:hideMark/>
          </w:tcPr>
          <w:p w14:paraId="5E33688D" w14:textId="5E6CC669" w:rsidR="00EA3948" w:rsidRPr="00EA3948" w:rsidRDefault="00EA3948" w:rsidP="00EA39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A3948">
              <w:rPr>
                <w:rFonts w:ascii="Arial" w:eastAsia="Times New Roman" w:hAnsi="Arial" w:cs="Arial"/>
                <w:color w:val="000000"/>
                <w:sz w:val="18"/>
                <w:szCs w:val="18"/>
              </w:rPr>
              <w:t>Entities must ensure that employees minimize face-to-face contact with one another and with customers to the greatest extent practicable.</w:t>
            </w:r>
            <w:r w:rsidR="00291AF5" w:rsidRPr="005F7098">
              <w:rPr>
                <w:rFonts w:ascii="Arial" w:eastAsia="Times New Roman" w:hAnsi="Arial" w:cs="Arial"/>
                <w:color w:val="000000"/>
                <w:sz w:val="18"/>
                <w:szCs w:val="18"/>
              </w:rPr>
              <w:t xml:space="preserve"> </w:t>
            </w:r>
            <w:r w:rsidRPr="00EA3948">
              <w:rPr>
                <w:rFonts w:ascii="Arial" w:eastAsia="Times New Roman" w:hAnsi="Arial" w:cs="Arial"/>
                <w:color w:val="000000"/>
                <w:sz w:val="18"/>
                <w:szCs w:val="18"/>
              </w:rPr>
              <w:t>Meetings should be conducted via telephone or Internet if possible.</w:t>
            </w:r>
          </w:p>
        </w:tc>
        <w:tc>
          <w:tcPr>
            <w:tcW w:w="891" w:type="pct"/>
          </w:tcPr>
          <w:p w14:paraId="753EC070" w14:textId="685D9221" w:rsidR="00EA3948" w:rsidRPr="00EA3948" w:rsidRDefault="00EA3948" w:rsidP="00EA39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705" w:type="pct"/>
          </w:tcPr>
          <w:p w14:paraId="03697304" w14:textId="41655AEA" w:rsidR="00EA3948" w:rsidRPr="00EA3948" w:rsidRDefault="00EA3948" w:rsidP="00EA39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467" w:type="pct"/>
          </w:tcPr>
          <w:p w14:paraId="7F6E0A56" w14:textId="0941EE73" w:rsidR="00EA3948" w:rsidRPr="00EA3948" w:rsidRDefault="00EA3948" w:rsidP="003811D4">
            <w:pPr>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EA3053" w:rsidRPr="00EA3948" w14:paraId="641451A8" w14:textId="77777777" w:rsidTr="006D499D">
        <w:trPr>
          <w:cantSplit/>
          <w:trHeight w:val="285"/>
        </w:trPr>
        <w:tc>
          <w:tcPr>
            <w:cnfStyle w:val="001000000000" w:firstRow="0" w:lastRow="0" w:firstColumn="1" w:lastColumn="0" w:oddVBand="0" w:evenVBand="0" w:oddHBand="0" w:evenHBand="0" w:firstRowFirstColumn="0" w:firstRowLastColumn="0" w:lastRowFirstColumn="0" w:lastRowLastColumn="0"/>
            <w:tcW w:w="540" w:type="pct"/>
            <w:hideMark/>
          </w:tcPr>
          <w:p w14:paraId="0955F6E4" w14:textId="77777777" w:rsidR="00EA3948" w:rsidRPr="00EA3948" w:rsidRDefault="00EA3948" w:rsidP="00591441">
            <w:pPr>
              <w:numPr>
                <w:ilvl w:val="0"/>
                <w:numId w:val="1"/>
              </w:numPr>
              <w:rPr>
                <w:rFonts w:ascii="Arial" w:eastAsia="Times New Roman" w:hAnsi="Arial" w:cs="Arial"/>
                <w:color w:val="000000"/>
                <w:sz w:val="18"/>
                <w:szCs w:val="18"/>
              </w:rPr>
            </w:pPr>
            <w:r w:rsidRPr="00EA3948">
              <w:rPr>
                <w:rFonts w:ascii="Arial" w:eastAsia="Times New Roman" w:hAnsi="Arial" w:cs="Arial"/>
                <w:color w:val="000000"/>
                <w:sz w:val="18"/>
                <w:szCs w:val="18"/>
              </w:rPr>
              <w:t>Universal Masks and Other Necessary PPE</w:t>
            </w:r>
          </w:p>
        </w:tc>
        <w:tc>
          <w:tcPr>
            <w:tcW w:w="1398" w:type="pct"/>
            <w:hideMark/>
          </w:tcPr>
          <w:p w14:paraId="41ED3509" w14:textId="77777777" w:rsidR="00EA3948" w:rsidRPr="00EA3948" w:rsidRDefault="00EA3948" w:rsidP="00EA39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A3948">
              <w:rPr>
                <w:rFonts w:ascii="Arial" w:eastAsia="Times New Roman" w:hAnsi="Arial" w:cs="Arial"/>
                <w:color w:val="000000"/>
                <w:sz w:val="18"/>
                <w:szCs w:val="18"/>
              </w:rPr>
              <w:t>CDC guidelines on proper use of PPE</w:t>
            </w:r>
          </w:p>
        </w:tc>
        <w:tc>
          <w:tcPr>
            <w:tcW w:w="891" w:type="pct"/>
          </w:tcPr>
          <w:p w14:paraId="44187A8D" w14:textId="7E942646" w:rsidR="00EA3948" w:rsidRPr="00EA3948" w:rsidRDefault="00EA3948" w:rsidP="00EA39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705" w:type="pct"/>
          </w:tcPr>
          <w:p w14:paraId="7A225CB8" w14:textId="2AA45D18" w:rsidR="00EA3948" w:rsidRPr="00EA3948" w:rsidRDefault="00EA3948" w:rsidP="00EA39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467" w:type="pct"/>
          </w:tcPr>
          <w:p w14:paraId="134BF575" w14:textId="1DC506D8" w:rsidR="00EA3948" w:rsidRPr="00EA3948" w:rsidRDefault="00EA3948" w:rsidP="003811D4">
            <w:pPr>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E4311E" w:rsidRPr="00EA3948" w14:paraId="2A465F75" w14:textId="77777777" w:rsidTr="006D499D">
        <w:trPr>
          <w:cantSplit/>
          <w:trHeight w:val="780"/>
        </w:trPr>
        <w:tc>
          <w:tcPr>
            <w:cnfStyle w:val="001000000000" w:firstRow="0" w:lastRow="0" w:firstColumn="1" w:lastColumn="0" w:oddVBand="0" w:evenVBand="0" w:oddHBand="0" w:evenHBand="0" w:firstRowFirstColumn="0" w:firstRowLastColumn="0" w:lastRowFirstColumn="0" w:lastRowLastColumn="0"/>
            <w:tcW w:w="540" w:type="pct"/>
          </w:tcPr>
          <w:p w14:paraId="6BCD5E99" w14:textId="025CE7B7" w:rsidR="00E4311E" w:rsidRPr="00EA3948" w:rsidRDefault="00E4311E" w:rsidP="00E4311E">
            <w:pPr>
              <w:numPr>
                <w:ilvl w:val="1"/>
                <w:numId w:val="1"/>
              </w:numPr>
              <w:rPr>
                <w:rFonts w:ascii="Arial" w:eastAsia="Times New Roman" w:hAnsi="Arial" w:cs="Arial"/>
                <w:color w:val="000000"/>
                <w:sz w:val="18"/>
                <w:szCs w:val="18"/>
              </w:rPr>
            </w:pPr>
            <w:r w:rsidRPr="003D66E8">
              <w:rPr>
                <w:rFonts w:ascii="Arial" w:eastAsia="Times New Roman" w:hAnsi="Arial" w:cs="Arial"/>
                <w:color w:val="000000"/>
                <w:sz w:val="18"/>
                <w:szCs w:val="18"/>
              </w:rPr>
              <w:t>Encourage Customers to Mask</w:t>
            </w:r>
          </w:p>
        </w:tc>
        <w:tc>
          <w:tcPr>
            <w:tcW w:w="1398" w:type="pct"/>
          </w:tcPr>
          <w:p w14:paraId="40B30AF1" w14:textId="1D9C4A77"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D66E8">
              <w:rPr>
                <w:rFonts w:ascii="Arial" w:eastAsia="Times New Roman" w:hAnsi="Arial" w:cs="Arial"/>
                <w:color w:val="000000"/>
                <w:sz w:val="18"/>
                <w:szCs w:val="18"/>
              </w:rPr>
              <w:t>Entities should encourage customers to wear masks, which the entities may provide.  Entities may refuse to serve any customer who is not wearing a mask</w:t>
            </w:r>
          </w:p>
        </w:tc>
        <w:tc>
          <w:tcPr>
            <w:tcW w:w="891" w:type="pct"/>
          </w:tcPr>
          <w:p w14:paraId="2FB7A707" w14:textId="67AC835E"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705" w:type="pct"/>
          </w:tcPr>
          <w:p w14:paraId="338F8B77" w14:textId="3ECD5E6E"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467" w:type="pct"/>
          </w:tcPr>
          <w:p w14:paraId="24E6187E" w14:textId="3FD3E38D" w:rsidR="00E4311E" w:rsidRPr="00EA3948" w:rsidRDefault="00E4311E" w:rsidP="003811D4">
            <w:pPr>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E4311E" w:rsidRPr="00EA3948" w14:paraId="6A774CED" w14:textId="77777777" w:rsidTr="006D499D">
        <w:trPr>
          <w:cantSplit/>
          <w:trHeight w:val="780"/>
        </w:trPr>
        <w:tc>
          <w:tcPr>
            <w:cnfStyle w:val="001000000000" w:firstRow="0" w:lastRow="0" w:firstColumn="1" w:lastColumn="0" w:oddVBand="0" w:evenVBand="0" w:oddHBand="0" w:evenHBand="0" w:firstRowFirstColumn="0" w:firstRowLastColumn="0" w:lastRowFirstColumn="0" w:lastRowLastColumn="0"/>
            <w:tcW w:w="540" w:type="pct"/>
          </w:tcPr>
          <w:p w14:paraId="14B2ADFB" w14:textId="2C61D871" w:rsidR="00E4311E" w:rsidRPr="00EA3948" w:rsidRDefault="00E4311E" w:rsidP="00E4311E">
            <w:pPr>
              <w:numPr>
                <w:ilvl w:val="1"/>
                <w:numId w:val="1"/>
              </w:numPr>
              <w:rPr>
                <w:rFonts w:ascii="Arial" w:eastAsia="Times New Roman" w:hAnsi="Arial" w:cs="Arial"/>
                <w:color w:val="000000"/>
                <w:sz w:val="18"/>
                <w:szCs w:val="18"/>
              </w:rPr>
            </w:pPr>
            <w:r w:rsidRPr="00F22F11">
              <w:rPr>
                <w:rFonts w:ascii="Arial" w:eastAsia="Times New Roman" w:hAnsi="Arial" w:cs="Arial"/>
                <w:color w:val="000000"/>
                <w:sz w:val="18"/>
                <w:szCs w:val="18"/>
              </w:rPr>
              <w:t>Access To Gloves</w:t>
            </w:r>
          </w:p>
        </w:tc>
        <w:tc>
          <w:tcPr>
            <w:tcW w:w="1398" w:type="pct"/>
          </w:tcPr>
          <w:p w14:paraId="25C92FCE" w14:textId="30DCD873"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24FBD">
              <w:rPr>
                <w:rFonts w:ascii="Arial" w:eastAsia="Times New Roman" w:hAnsi="Arial" w:cs="Arial"/>
                <w:color w:val="000000"/>
                <w:sz w:val="18"/>
                <w:szCs w:val="18"/>
              </w:rPr>
              <w:t>Entities must ensure that employees whose job duties include touching items often touched by others (e.g., credit cards/cash, paper, computers) wear gloves that are regularly replaced.  Entities should also follow the applicable CDC, OSHA, or other federal guidelines relating to gloves.</w:t>
            </w:r>
          </w:p>
        </w:tc>
        <w:tc>
          <w:tcPr>
            <w:tcW w:w="891" w:type="pct"/>
          </w:tcPr>
          <w:p w14:paraId="323BBF76" w14:textId="2A86194D"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705" w:type="pct"/>
          </w:tcPr>
          <w:p w14:paraId="392CF29A" w14:textId="714621A8"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467" w:type="pct"/>
          </w:tcPr>
          <w:p w14:paraId="0C63C488" w14:textId="1B38E8C2" w:rsidR="00E4311E" w:rsidRPr="00EA3948" w:rsidRDefault="00E4311E" w:rsidP="003811D4">
            <w:pPr>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4F70A9" w:rsidRPr="00EA3948" w14:paraId="4B6B6797" w14:textId="77777777" w:rsidTr="006D499D">
        <w:trPr>
          <w:cantSplit/>
          <w:trHeight w:val="780"/>
        </w:trPr>
        <w:tc>
          <w:tcPr>
            <w:cnfStyle w:val="001000000000" w:firstRow="0" w:lastRow="0" w:firstColumn="1" w:lastColumn="0" w:oddVBand="0" w:evenVBand="0" w:oddHBand="0" w:evenHBand="0" w:firstRowFirstColumn="0" w:firstRowLastColumn="0" w:lastRowFirstColumn="0" w:lastRowLastColumn="0"/>
            <w:tcW w:w="540" w:type="pct"/>
            <w:hideMark/>
          </w:tcPr>
          <w:p w14:paraId="7A8D9729" w14:textId="77777777" w:rsidR="00E4311E" w:rsidRPr="00EA3948" w:rsidRDefault="00E4311E" w:rsidP="00E4311E">
            <w:pPr>
              <w:numPr>
                <w:ilvl w:val="0"/>
                <w:numId w:val="1"/>
              </w:numPr>
              <w:rPr>
                <w:rFonts w:ascii="Arial" w:eastAsia="Times New Roman" w:hAnsi="Arial" w:cs="Arial"/>
                <w:color w:val="000000"/>
                <w:sz w:val="18"/>
                <w:szCs w:val="18"/>
              </w:rPr>
            </w:pPr>
            <w:r w:rsidRPr="00EA3948">
              <w:rPr>
                <w:rFonts w:ascii="Arial" w:eastAsia="Times New Roman" w:hAnsi="Arial" w:cs="Arial"/>
                <w:color w:val="000000"/>
                <w:sz w:val="18"/>
                <w:szCs w:val="18"/>
              </w:rPr>
              <w:t>Hand Sanitizer and Hand Washing</w:t>
            </w:r>
          </w:p>
        </w:tc>
        <w:tc>
          <w:tcPr>
            <w:tcW w:w="1398" w:type="pct"/>
            <w:hideMark/>
          </w:tcPr>
          <w:p w14:paraId="24ECE6C6" w14:textId="77777777"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A3948">
              <w:rPr>
                <w:rFonts w:ascii="Arial" w:eastAsia="Times New Roman" w:hAnsi="Arial" w:cs="Arial"/>
                <w:color w:val="000000"/>
                <w:sz w:val="18"/>
                <w:szCs w:val="18"/>
              </w:rPr>
              <w:t>Entities must supply adequate hand sanitizer (60% alcohol content or higher) for both employees and customers and ensure that it is made available near high-traffic and high-touch areas (e.g., doors or door handles). Entities must also encourage routine and consistent hand washing for employees and customers.</w:t>
            </w:r>
          </w:p>
        </w:tc>
        <w:tc>
          <w:tcPr>
            <w:tcW w:w="891" w:type="pct"/>
          </w:tcPr>
          <w:p w14:paraId="2F5DFC8B" w14:textId="1DAE8EFD"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705" w:type="pct"/>
          </w:tcPr>
          <w:p w14:paraId="43AE2654" w14:textId="2F384B54"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467" w:type="pct"/>
          </w:tcPr>
          <w:p w14:paraId="0B014973" w14:textId="367E881B" w:rsidR="00E4311E" w:rsidRPr="00EA3948" w:rsidRDefault="00E4311E" w:rsidP="003811D4">
            <w:pPr>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EA3053" w:rsidRPr="00EA3948" w14:paraId="48DE183B" w14:textId="77777777" w:rsidTr="006D499D">
        <w:trPr>
          <w:cantSplit/>
          <w:trHeight w:val="525"/>
        </w:trPr>
        <w:tc>
          <w:tcPr>
            <w:cnfStyle w:val="001000000000" w:firstRow="0" w:lastRow="0" w:firstColumn="1" w:lastColumn="0" w:oddVBand="0" w:evenVBand="0" w:oddHBand="0" w:evenHBand="0" w:firstRowFirstColumn="0" w:firstRowLastColumn="0" w:lastRowFirstColumn="0" w:lastRowLastColumn="0"/>
            <w:tcW w:w="540" w:type="pct"/>
            <w:hideMark/>
          </w:tcPr>
          <w:p w14:paraId="7271E923" w14:textId="77777777" w:rsidR="00E4311E" w:rsidRPr="00EA3948" w:rsidRDefault="00E4311E" w:rsidP="00E4311E">
            <w:pPr>
              <w:numPr>
                <w:ilvl w:val="0"/>
                <w:numId w:val="1"/>
              </w:numPr>
              <w:rPr>
                <w:rFonts w:ascii="Arial" w:eastAsia="Times New Roman" w:hAnsi="Arial" w:cs="Arial"/>
                <w:color w:val="000000"/>
                <w:sz w:val="18"/>
                <w:szCs w:val="18"/>
              </w:rPr>
            </w:pPr>
            <w:r w:rsidRPr="00EA3948">
              <w:rPr>
                <w:rFonts w:ascii="Arial" w:eastAsia="Times New Roman" w:hAnsi="Arial" w:cs="Arial"/>
                <w:color w:val="000000"/>
                <w:sz w:val="18"/>
                <w:szCs w:val="18"/>
              </w:rPr>
              <w:t>Restricted Common Areas</w:t>
            </w:r>
          </w:p>
        </w:tc>
        <w:tc>
          <w:tcPr>
            <w:tcW w:w="1398" w:type="pct"/>
            <w:hideMark/>
          </w:tcPr>
          <w:p w14:paraId="1709E964" w14:textId="77777777"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A3948">
              <w:rPr>
                <w:rFonts w:ascii="Arial" w:eastAsia="Times New Roman" w:hAnsi="Arial" w:cs="Arial"/>
                <w:color w:val="000000"/>
                <w:sz w:val="18"/>
                <w:szCs w:val="18"/>
              </w:rPr>
              <w:t>Entities must, to the greatest extent practicable, restrict common areas such as lobbies, waiting rooms, break rooms, smoking areas, lunch rooms, and concession areas to maximize social distancing and reduce congregating.</w:t>
            </w:r>
          </w:p>
        </w:tc>
        <w:tc>
          <w:tcPr>
            <w:tcW w:w="891" w:type="pct"/>
          </w:tcPr>
          <w:p w14:paraId="724B5699" w14:textId="3F2438AB"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705" w:type="pct"/>
          </w:tcPr>
          <w:p w14:paraId="4F463167" w14:textId="15F3A596"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467" w:type="pct"/>
          </w:tcPr>
          <w:p w14:paraId="52E22624" w14:textId="1ECF68C9" w:rsidR="004F70A9" w:rsidRPr="00EA3948" w:rsidRDefault="004F70A9" w:rsidP="003811D4">
            <w:pPr>
              <w:numPr>
                <w:ilvl w:val="0"/>
                <w:numId w:val="3"/>
              </w:numPr>
              <w:tabs>
                <w:tab w:val="left" w:pos="1982"/>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4F70A9" w:rsidRPr="00EA3948" w14:paraId="47559298" w14:textId="77777777" w:rsidTr="006D499D">
        <w:trPr>
          <w:cantSplit/>
          <w:trHeight w:val="1290"/>
        </w:trPr>
        <w:tc>
          <w:tcPr>
            <w:cnfStyle w:val="001000000000" w:firstRow="0" w:lastRow="0" w:firstColumn="1" w:lastColumn="0" w:oddVBand="0" w:evenVBand="0" w:oddHBand="0" w:evenHBand="0" w:firstRowFirstColumn="0" w:firstRowLastColumn="0" w:lastRowFirstColumn="0" w:lastRowLastColumn="0"/>
            <w:tcW w:w="540" w:type="pct"/>
            <w:hideMark/>
          </w:tcPr>
          <w:p w14:paraId="0B547185" w14:textId="77777777" w:rsidR="00E4311E" w:rsidRPr="00EA3948" w:rsidRDefault="00E4311E" w:rsidP="00E4311E">
            <w:pPr>
              <w:numPr>
                <w:ilvl w:val="0"/>
                <w:numId w:val="1"/>
              </w:numPr>
              <w:rPr>
                <w:rFonts w:ascii="Arial" w:eastAsia="Times New Roman" w:hAnsi="Arial" w:cs="Arial"/>
                <w:color w:val="000000"/>
                <w:sz w:val="18"/>
                <w:szCs w:val="18"/>
              </w:rPr>
            </w:pPr>
            <w:r w:rsidRPr="00EA3948">
              <w:rPr>
                <w:rFonts w:ascii="Arial" w:eastAsia="Times New Roman" w:hAnsi="Arial" w:cs="Arial"/>
                <w:color w:val="000000"/>
                <w:sz w:val="18"/>
                <w:szCs w:val="18"/>
              </w:rPr>
              <w:t>Proper Sanitation</w:t>
            </w:r>
          </w:p>
        </w:tc>
        <w:tc>
          <w:tcPr>
            <w:tcW w:w="1398" w:type="pct"/>
            <w:hideMark/>
          </w:tcPr>
          <w:p w14:paraId="4193A5E0" w14:textId="77777777"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A3948">
              <w:rPr>
                <w:rFonts w:ascii="Arial" w:eastAsia="Times New Roman" w:hAnsi="Arial" w:cs="Arial"/>
                <w:color w:val="000000"/>
                <w:sz w:val="18"/>
                <w:szCs w:val="18"/>
              </w:rPr>
              <w:t>Entities must sanitize frequently touched surfaces and areas (e.g., doorknobs, credit card machines, shared computers) in accordance with CDC guidelines. When they have identified an employee who has COVID-19 or the associated symptoms, entities must further ensure that they immediately restrict access to contaminated areas and post signage and adequately clean impacted areas. Any contaminated area should be off-limits to all but essential personnel for a minimum of 24 hours if practicable.</w:t>
            </w:r>
          </w:p>
        </w:tc>
        <w:tc>
          <w:tcPr>
            <w:tcW w:w="891" w:type="pct"/>
          </w:tcPr>
          <w:p w14:paraId="584F62CE" w14:textId="5E1E6582"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705" w:type="pct"/>
          </w:tcPr>
          <w:p w14:paraId="788E7045" w14:textId="31C7EEBC"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467" w:type="pct"/>
          </w:tcPr>
          <w:p w14:paraId="0B75F570" w14:textId="5BBB0BFE" w:rsidR="00E4311E" w:rsidRPr="00EA3948" w:rsidRDefault="00E4311E" w:rsidP="003811D4">
            <w:pPr>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EA3053" w:rsidRPr="00EA3948" w14:paraId="18DF0D86" w14:textId="77777777" w:rsidTr="006D499D">
        <w:trPr>
          <w:cantSplit/>
          <w:trHeight w:val="1800"/>
        </w:trPr>
        <w:tc>
          <w:tcPr>
            <w:cnfStyle w:val="001000000000" w:firstRow="0" w:lastRow="0" w:firstColumn="1" w:lastColumn="0" w:oddVBand="0" w:evenVBand="0" w:oddHBand="0" w:evenHBand="0" w:firstRowFirstColumn="0" w:firstRowLastColumn="0" w:lastRowFirstColumn="0" w:lastRowLastColumn="0"/>
            <w:tcW w:w="540" w:type="pct"/>
            <w:hideMark/>
          </w:tcPr>
          <w:p w14:paraId="38E5A0F1" w14:textId="77777777" w:rsidR="00E4311E" w:rsidRPr="00EA3948" w:rsidRDefault="00E4311E" w:rsidP="00E4311E">
            <w:pPr>
              <w:numPr>
                <w:ilvl w:val="0"/>
                <w:numId w:val="1"/>
              </w:numPr>
              <w:rPr>
                <w:rFonts w:ascii="Arial" w:eastAsia="Times New Roman" w:hAnsi="Arial" w:cs="Arial"/>
                <w:color w:val="000000"/>
                <w:sz w:val="18"/>
                <w:szCs w:val="18"/>
              </w:rPr>
            </w:pPr>
            <w:r w:rsidRPr="00EA3948">
              <w:rPr>
                <w:rFonts w:ascii="Arial" w:eastAsia="Times New Roman" w:hAnsi="Arial" w:cs="Arial"/>
                <w:color w:val="000000"/>
                <w:sz w:val="18"/>
                <w:szCs w:val="18"/>
              </w:rPr>
              <w:t>Daily Temperature and Health Checks (page 6)</w:t>
            </w:r>
          </w:p>
        </w:tc>
        <w:tc>
          <w:tcPr>
            <w:tcW w:w="1398" w:type="pct"/>
            <w:hideMark/>
          </w:tcPr>
          <w:p w14:paraId="5C5C2194" w14:textId="77777777"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A3948">
              <w:rPr>
                <w:rFonts w:ascii="Arial" w:eastAsia="Times New Roman" w:hAnsi="Arial" w:cs="Arial"/>
                <w:color w:val="000000"/>
                <w:sz w:val="18"/>
                <w:szCs w:val="18"/>
              </w:rPr>
              <w:t>Entities must require employees to undergo daily temperature and health checks; these checks may be either self-administered or administered by the entities prior to workplace entry. Self-administered temperature and health checks may be performed at home. Employees who have a fever and/or any symptoms of COVID-19 should be directed to their health care provider to be tested and then instructed to quarantine at home as soon as any illness is detected. This includes employees that passed a temperature and health check prior to reporting to work but became ill during the course of the day. Guidance on COVID-19 symptoms and how to conduct temperature and health checks can be found in the Health Requirements and Temperature Checks (link on Task Name).</w:t>
            </w:r>
          </w:p>
        </w:tc>
        <w:tc>
          <w:tcPr>
            <w:tcW w:w="891" w:type="pct"/>
          </w:tcPr>
          <w:p w14:paraId="55811769" w14:textId="3CEB6767"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705" w:type="pct"/>
          </w:tcPr>
          <w:p w14:paraId="546BFF85" w14:textId="474BAAFC"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467" w:type="pct"/>
          </w:tcPr>
          <w:p w14:paraId="4E366C21" w14:textId="0E93630D" w:rsidR="00E4311E" w:rsidRPr="00EA3948" w:rsidRDefault="00E4311E" w:rsidP="003811D4">
            <w:pPr>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4F70A9" w:rsidRPr="00EA3948" w14:paraId="5B46F78F" w14:textId="77777777" w:rsidTr="006D499D">
        <w:trPr>
          <w:cantSplit/>
          <w:trHeight w:val="1035"/>
        </w:trPr>
        <w:tc>
          <w:tcPr>
            <w:cnfStyle w:val="001000000000" w:firstRow="0" w:lastRow="0" w:firstColumn="1" w:lastColumn="0" w:oddVBand="0" w:evenVBand="0" w:oddHBand="0" w:evenHBand="0" w:firstRowFirstColumn="0" w:firstRowLastColumn="0" w:lastRowFirstColumn="0" w:lastRowLastColumn="0"/>
            <w:tcW w:w="540" w:type="pct"/>
            <w:hideMark/>
          </w:tcPr>
          <w:p w14:paraId="401697DC" w14:textId="77777777" w:rsidR="00E4311E" w:rsidRPr="00EA3948" w:rsidRDefault="00E4311E" w:rsidP="00E4311E">
            <w:pPr>
              <w:numPr>
                <w:ilvl w:val="0"/>
                <w:numId w:val="1"/>
              </w:numPr>
              <w:rPr>
                <w:rFonts w:ascii="Arial" w:eastAsia="Times New Roman" w:hAnsi="Arial" w:cs="Arial"/>
                <w:color w:val="000000"/>
                <w:sz w:val="18"/>
                <w:szCs w:val="18"/>
              </w:rPr>
            </w:pPr>
            <w:r w:rsidRPr="00EA3948">
              <w:rPr>
                <w:rFonts w:ascii="Arial" w:eastAsia="Times New Roman" w:hAnsi="Arial" w:cs="Arial"/>
                <w:color w:val="000000"/>
                <w:sz w:val="18"/>
                <w:szCs w:val="18"/>
              </w:rPr>
              <w:t>Testing Plan</w:t>
            </w:r>
          </w:p>
        </w:tc>
        <w:tc>
          <w:tcPr>
            <w:tcW w:w="1398" w:type="pct"/>
            <w:hideMark/>
          </w:tcPr>
          <w:p w14:paraId="3DCCA605" w14:textId="3D82AD81"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A3948">
              <w:rPr>
                <w:rFonts w:ascii="Arial" w:eastAsia="Times New Roman" w:hAnsi="Arial" w:cs="Arial"/>
                <w:color w:val="000000"/>
                <w:sz w:val="18"/>
                <w:szCs w:val="18"/>
              </w:rPr>
              <w:t>Entities must ensure that any employee with COVID-19 symptoms is tested by a health care provider for COVID-19 within 36 hours. Entities must ensure that employees are trained on how to isolate individuals with suspected or confirmed COVID19 and how to report possible cases. If an employee tests positive, the entities must immediately notify the local public health department.</w:t>
            </w:r>
          </w:p>
        </w:tc>
        <w:tc>
          <w:tcPr>
            <w:tcW w:w="891" w:type="pct"/>
          </w:tcPr>
          <w:p w14:paraId="6F09D226" w14:textId="406B1971"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705" w:type="pct"/>
          </w:tcPr>
          <w:p w14:paraId="66CFEED1" w14:textId="77777777"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467" w:type="pct"/>
          </w:tcPr>
          <w:p w14:paraId="5209C13C" w14:textId="0CC9F63C" w:rsidR="00E4311E" w:rsidRPr="00EA3948" w:rsidRDefault="00E4311E" w:rsidP="003811D4">
            <w:pPr>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EA3053" w:rsidRPr="00EA3948" w14:paraId="795DA22F" w14:textId="77777777" w:rsidTr="006D499D">
        <w:trPr>
          <w:cantSplit/>
          <w:trHeight w:val="780"/>
        </w:trPr>
        <w:tc>
          <w:tcPr>
            <w:cnfStyle w:val="001000000000" w:firstRow="0" w:lastRow="0" w:firstColumn="1" w:lastColumn="0" w:oddVBand="0" w:evenVBand="0" w:oddHBand="0" w:evenHBand="0" w:firstRowFirstColumn="0" w:firstRowLastColumn="0" w:lastRowFirstColumn="0" w:lastRowLastColumn="0"/>
            <w:tcW w:w="540" w:type="pct"/>
            <w:hideMark/>
          </w:tcPr>
          <w:p w14:paraId="4C93FDD8" w14:textId="77777777" w:rsidR="00E4311E" w:rsidRPr="00EA3948" w:rsidRDefault="00E4311E" w:rsidP="00E4311E">
            <w:pPr>
              <w:numPr>
                <w:ilvl w:val="0"/>
                <w:numId w:val="1"/>
              </w:numPr>
              <w:rPr>
                <w:rFonts w:ascii="Arial" w:eastAsia="Times New Roman" w:hAnsi="Arial" w:cs="Arial"/>
                <w:color w:val="000000"/>
                <w:sz w:val="18"/>
                <w:szCs w:val="18"/>
              </w:rPr>
            </w:pPr>
            <w:r w:rsidRPr="00EA3948">
              <w:rPr>
                <w:rFonts w:ascii="Arial" w:eastAsia="Times New Roman" w:hAnsi="Arial" w:cs="Arial"/>
                <w:color w:val="000000"/>
                <w:sz w:val="18"/>
                <w:szCs w:val="18"/>
              </w:rPr>
              <w:t>Special Accommodations</w:t>
            </w:r>
          </w:p>
        </w:tc>
        <w:tc>
          <w:tcPr>
            <w:tcW w:w="1398" w:type="pct"/>
            <w:hideMark/>
          </w:tcPr>
          <w:p w14:paraId="647E1997" w14:textId="77777777"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A3948">
              <w:rPr>
                <w:rFonts w:ascii="Arial" w:eastAsia="Times New Roman" w:hAnsi="Arial" w:cs="Arial"/>
                <w:color w:val="000000"/>
                <w:sz w:val="18"/>
                <w:szCs w:val="18"/>
              </w:rPr>
              <w:t>Entities must, to the greatest extent practicable, make special accommodations for employees and customers at higher risk for severe illness. Individuals in these high-risk categories have been identified by the Centers for Disease Control and Prevention – further information is available at (link on Task Name).</w:t>
            </w:r>
          </w:p>
        </w:tc>
        <w:tc>
          <w:tcPr>
            <w:tcW w:w="891" w:type="pct"/>
          </w:tcPr>
          <w:p w14:paraId="2C297020" w14:textId="77777777" w:rsidR="00E4311E"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p w14:paraId="61CE9874" w14:textId="77777777" w:rsidR="00BD3F4B" w:rsidRPr="00BD3F4B" w:rsidRDefault="00BD3F4B" w:rsidP="00BD3F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p w14:paraId="2F9BC4F9" w14:textId="77777777" w:rsidR="00BD3F4B" w:rsidRDefault="00BD3F4B" w:rsidP="00BD3F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p w14:paraId="08020427" w14:textId="77777777" w:rsidR="00BD3F4B" w:rsidRDefault="00BD3F4B" w:rsidP="00BD3F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p w14:paraId="54A892B1" w14:textId="05E0469F" w:rsidR="00BD3F4B" w:rsidRPr="00BD3F4B" w:rsidRDefault="00BD3F4B" w:rsidP="00BD3F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705" w:type="pct"/>
          </w:tcPr>
          <w:p w14:paraId="62106C29" w14:textId="0EF6971A"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467" w:type="pct"/>
          </w:tcPr>
          <w:p w14:paraId="2B125543" w14:textId="590E26E2" w:rsidR="00E4311E" w:rsidRPr="00EA3948" w:rsidRDefault="00E4311E" w:rsidP="003811D4">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4F70A9" w:rsidRPr="00EA3948" w14:paraId="4EDCF8FA" w14:textId="77777777" w:rsidTr="006D499D">
        <w:trPr>
          <w:cantSplit/>
          <w:trHeight w:val="1035"/>
        </w:trPr>
        <w:tc>
          <w:tcPr>
            <w:cnfStyle w:val="001000000000" w:firstRow="0" w:lastRow="0" w:firstColumn="1" w:lastColumn="0" w:oddVBand="0" w:evenVBand="0" w:oddHBand="0" w:evenHBand="0" w:firstRowFirstColumn="0" w:firstRowLastColumn="0" w:lastRowFirstColumn="0" w:lastRowLastColumn="0"/>
            <w:tcW w:w="540" w:type="pct"/>
            <w:hideMark/>
          </w:tcPr>
          <w:p w14:paraId="1823E3C8" w14:textId="77777777" w:rsidR="00E4311E" w:rsidRPr="00EA3948" w:rsidRDefault="00E4311E" w:rsidP="00E4311E">
            <w:pPr>
              <w:numPr>
                <w:ilvl w:val="0"/>
                <w:numId w:val="1"/>
              </w:numPr>
              <w:rPr>
                <w:rFonts w:ascii="Arial" w:eastAsia="Times New Roman" w:hAnsi="Arial" w:cs="Arial"/>
                <w:color w:val="000000"/>
                <w:sz w:val="18"/>
                <w:szCs w:val="18"/>
              </w:rPr>
            </w:pPr>
            <w:r w:rsidRPr="00EA3948">
              <w:rPr>
                <w:rFonts w:ascii="Arial" w:eastAsia="Times New Roman" w:hAnsi="Arial" w:cs="Arial"/>
                <w:color w:val="000000"/>
                <w:sz w:val="18"/>
                <w:szCs w:val="18"/>
              </w:rPr>
              <w:lastRenderedPageBreak/>
              <w:t>Designated "Health at Work" Officer</w:t>
            </w:r>
          </w:p>
        </w:tc>
        <w:tc>
          <w:tcPr>
            <w:tcW w:w="1398" w:type="pct"/>
            <w:hideMark/>
          </w:tcPr>
          <w:p w14:paraId="33E62921" w14:textId="77777777"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A3948">
              <w:rPr>
                <w:rFonts w:ascii="Arial" w:eastAsia="Times New Roman" w:hAnsi="Arial" w:cs="Arial"/>
                <w:color w:val="000000"/>
                <w:sz w:val="18"/>
                <w:szCs w:val="18"/>
              </w:rPr>
              <w:t>Entities must ensure that an employee is designated as its Healthy at Work Officer. This individual will be responsible for the entity’ compliance with this guidance and any other guidance provided. Entities should allow for employees to identify and communicate potential improvements and/or concerns to the Healthy at Work designated Officer or management</w:t>
            </w:r>
          </w:p>
        </w:tc>
        <w:tc>
          <w:tcPr>
            <w:tcW w:w="891" w:type="pct"/>
          </w:tcPr>
          <w:p w14:paraId="1FC496AE" w14:textId="2A7ED027"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705" w:type="pct"/>
          </w:tcPr>
          <w:p w14:paraId="53D553D2" w14:textId="403ACAB1"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467" w:type="pct"/>
          </w:tcPr>
          <w:p w14:paraId="39FD8B7C" w14:textId="43FC46F4" w:rsidR="00E4311E" w:rsidRPr="00EA3948" w:rsidRDefault="00E4311E" w:rsidP="003811D4">
            <w:pPr>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EA3053" w:rsidRPr="00EA3948" w14:paraId="039CCA47" w14:textId="77777777" w:rsidTr="006D499D">
        <w:trPr>
          <w:cantSplit/>
          <w:trHeight w:val="780"/>
        </w:trPr>
        <w:tc>
          <w:tcPr>
            <w:cnfStyle w:val="001000000000" w:firstRow="0" w:lastRow="0" w:firstColumn="1" w:lastColumn="0" w:oddVBand="0" w:evenVBand="0" w:oddHBand="0" w:evenHBand="0" w:firstRowFirstColumn="0" w:firstRowLastColumn="0" w:lastRowFirstColumn="0" w:lastRowLastColumn="0"/>
            <w:tcW w:w="540" w:type="pct"/>
            <w:hideMark/>
          </w:tcPr>
          <w:p w14:paraId="0E485C00" w14:textId="77777777" w:rsidR="00E4311E" w:rsidRPr="00EA3948" w:rsidRDefault="00E4311E" w:rsidP="00E4311E">
            <w:pPr>
              <w:numPr>
                <w:ilvl w:val="0"/>
                <w:numId w:val="1"/>
              </w:numPr>
              <w:rPr>
                <w:rFonts w:ascii="Arial" w:eastAsia="Times New Roman" w:hAnsi="Arial" w:cs="Arial"/>
                <w:color w:val="000000"/>
                <w:sz w:val="18"/>
                <w:szCs w:val="18"/>
              </w:rPr>
            </w:pPr>
            <w:r w:rsidRPr="00EA3948">
              <w:rPr>
                <w:rFonts w:ascii="Arial" w:eastAsia="Times New Roman" w:hAnsi="Arial" w:cs="Arial"/>
                <w:color w:val="000000"/>
                <w:sz w:val="18"/>
                <w:szCs w:val="18"/>
              </w:rPr>
              <w:t>Educated and Trained Employees</w:t>
            </w:r>
          </w:p>
        </w:tc>
        <w:tc>
          <w:tcPr>
            <w:tcW w:w="1398" w:type="pct"/>
            <w:hideMark/>
          </w:tcPr>
          <w:p w14:paraId="08FE22ED" w14:textId="77777777"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A3948">
              <w:rPr>
                <w:rFonts w:ascii="Arial" w:eastAsia="Times New Roman" w:hAnsi="Arial" w:cs="Arial"/>
                <w:color w:val="000000"/>
                <w:sz w:val="18"/>
                <w:szCs w:val="18"/>
              </w:rPr>
              <w:t>Entities must educate and train all individuals, including employees, temporary employees, contractors, vendors, customers, etc., regarding the Healthy at Work protocols. This training must be offered during scheduled work times at no cost to the employee.</w:t>
            </w:r>
          </w:p>
        </w:tc>
        <w:tc>
          <w:tcPr>
            <w:tcW w:w="891" w:type="pct"/>
          </w:tcPr>
          <w:p w14:paraId="188E970C" w14:textId="4672FFD6"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705" w:type="pct"/>
          </w:tcPr>
          <w:p w14:paraId="31455CA2" w14:textId="5FEA9C17"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467" w:type="pct"/>
          </w:tcPr>
          <w:p w14:paraId="4CFF924F" w14:textId="4EBDBC38" w:rsidR="00E4311E" w:rsidRPr="00EA3948" w:rsidRDefault="00E4311E" w:rsidP="003811D4">
            <w:pPr>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4F70A9" w:rsidRPr="00EA3948" w14:paraId="36690029" w14:textId="77777777" w:rsidTr="006D499D">
        <w:trPr>
          <w:cantSplit/>
          <w:trHeight w:val="1290"/>
        </w:trPr>
        <w:tc>
          <w:tcPr>
            <w:cnfStyle w:val="001000000000" w:firstRow="0" w:lastRow="0" w:firstColumn="1" w:lastColumn="0" w:oddVBand="0" w:evenVBand="0" w:oddHBand="0" w:evenHBand="0" w:firstRowFirstColumn="0" w:firstRowLastColumn="0" w:lastRowFirstColumn="0" w:lastRowLastColumn="0"/>
            <w:tcW w:w="540" w:type="pct"/>
            <w:hideMark/>
          </w:tcPr>
          <w:p w14:paraId="3108B6A6" w14:textId="6FC03DE2" w:rsidR="00E4311E" w:rsidRPr="00EA3948" w:rsidRDefault="00E4311E" w:rsidP="00E4311E">
            <w:pPr>
              <w:numPr>
                <w:ilvl w:val="0"/>
                <w:numId w:val="1"/>
              </w:numPr>
              <w:rPr>
                <w:rFonts w:ascii="Arial" w:eastAsia="Times New Roman" w:hAnsi="Arial" w:cs="Arial"/>
                <w:color w:val="000000"/>
                <w:sz w:val="18"/>
                <w:szCs w:val="18"/>
              </w:rPr>
            </w:pPr>
            <w:r w:rsidRPr="00EA3948">
              <w:rPr>
                <w:rFonts w:ascii="Arial" w:eastAsia="Times New Roman" w:hAnsi="Arial" w:cs="Arial"/>
                <w:color w:val="000000"/>
                <w:sz w:val="18"/>
                <w:szCs w:val="18"/>
              </w:rPr>
              <w:t xml:space="preserve">Contact Notification Responsibilities </w:t>
            </w:r>
            <w:r w:rsidRPr="005F7098">
              <w:rPr>
                <w:rFonts w:ascii="Arial" w:eastAsia="Times New Roman" w:hAnsi="Arial" w:cs="Arial"/>
                <w:color w:val="000000"/>
                <w:sz w:val="18"/>
                <w:szCs w:val="18"/>
              </w:rPr>
              <w:br/>
            </w:r>
            <w:r w:rsidRPr="00EA3948">
              <w:rPr>
                <w:rFonts w:ascii="Arial" w:eastAsia="Times New Roman" w:hAnsi="Arial" w:cs="Arial"/>
                <w:color w:val="000000"/>
                <w:sz w:val="18"/>
                <w:szCs w:val="18"/>
              </w:rPr>
              <w:t>(page 8)</w:t>
            </w:r>
          </w:p>
        </w:tc>
        <w:tc>
          <w:tcPr>
            <w:tcW w:w="1398" w:type="pct"/>
            <w:hideMark/>
          </w:tcPr>
          <w:p w14:paraId="3653C244" w14:textId="77777777"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EA3948">
              <w:rPr>
                <w:rFonts w:ascii="Arial" w:eastAsia="Times New Roman" w:hAnsi="Arial" w:cs="Arial"/>
                <w:color w:val="000000"/>
                <w:sz w:val="18"/>
                <w:szCs w:val="18"/>
              </w:rPr>
              <w:t>Entities opened must be prepared to assist public health officials if an employee test positive or becomes exposed to COVID-19. This assistance includes, but is not limited to, providing the employee’s work schedule, workstation, hours or shifts worked, when the employee was potentially exposed, and the names and contact information of any other employee or other party exposed to the virus. Additional information about Contact Notification Responsibilities can be found in the Contact Notification Responsibilities Section (link on Task Name).</w:t>
            </w:r>
          </w:p>
        </w:tc>
        <w:tc>
          <w:tcPr>
            <w:tcW w:w="891" w:type="pct"/>
          </w:tcPr>
          <w:p w14:paraId="46507AE0" w14:textId="40CB1BC0"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705" w:type="pct"/>
          </w:tcPr>
          <w:p w14:paraId="1886CADB" w14:textId="5962DD28" w:rsidR="00E4311E" w:rsidRPr="00EA3948" w:rsidRDefault="00E4311E" w:rsidP="00E4311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467" w:type="pct"/>
          </w:tcPr>
          <w:p w14:paraId="0620E11E" w14:textId="41F11942" w:rsidR="00E4311E" w:rsidRPr="00EA3948" w:rsidRDefault="00E4311E" w:rsidP="003811D4">
            <w:pPr>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bl>
    <w:p w14:paraId="777C537A" w14:textId="6F751C91" w:rsidR="00205F5D" w:rsidRDefault="00205F5D"/>
    <w:p w14:paraId="79C23491" w14:textId="77777777" w:rsidR="000776A4" w:rsidRDefault="000776A4"/>
    <w:sectPr w:rsidR="000776A4" w:rsidSect="00324FBD">
      <w:headerReference w:type="even" r:id="rId11"/>
      <w:headerReference w:type="default" r:id="rId12"/>
      <w:footerReference w:type="even" r:id="rId13"/>
      <w:footerReference w:type="default" r:id="rId14"/>
      <w:headerReference w:type="first" r:id="rId15"/>
      <w:footerReference w:type="first" r:id="rId16"/>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EF131" w14:textId="77777777" w:rsidR="004B6556" w:rsidRDefault="004B6556" w:rsidP="003F1166">
      <w:pPr>
        <w:spacing w:after="0" w:line="240" w:lineRule="auto"/>
      </w:pPr>
      <w:r>
        <w:separator/>
      </w:r>
    </w:p>
  </w:endnote>
  <w:endnote w:type="continuationSeparator" w:id="0">
    <w:p w14:paraId="7D1966FF" w14:textId="77777777" w:rsidR="004B6556" w:rsidRDefault="004B6556" w:rsidP="003F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7B02" w14:textId="77777777" w:rsidR="00BD3F4B" w:rsidRDefault="00BD3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889826"/>
      <w:docPartObj>
        <w:docPartGallery w:val="Page Numbers (Bottom of Page)"/>
        <w:docPartUnique/>
      </w:docPartObj>
    </w:sdtPr>
    <w:sdtEndPr>
      <w:rPr>
        <w:noProof/>
      </w:rPr>
    </w:sdtEndPr>
    <w:sdtContent>
      <w:p w14:paraId="36C077A0" w14:textId="5D2B5225" w:rsidR="00291AF5" w:rsidRDefault="00291AF5" w:rsidP="00BD3F4B">
        <w:pPr>
          <w:pStyle w:val="Footer"/>
          <w:jc w:val="right"/>
        </w:pPr>
        <w:r>
          <w:fldChar w:fldCharType="begin"/>
        </w:r>
        <w:r>
          <w:instrText xml:space="preserve"> PAGE   \* MERGEFORMAT </w:instrText>
        </w:r>
        <w:r>
          <w:fldChar w:fldCharType="separate"/>
        </w:r>
        <w:r>
          <w:rPr>
            <w:noProof/>
          </w:rPr>
          <w:t>2</w:t>
        </w:r>
        <w:r>
          <w:rPr>
            <w:noProof/>
          </w:rPr>
          <w:fldChar w:fldCharType="end"/>
        </w:r>
        <w:r w:rsidR="00BD3F4B">
          <w:rPr>
            <w:noProof/>
          </w:rPr>
          <w:tab/>
        </w:r>
        <w:r w:rsidR="00BD3F4B">
          <w:rPr>
            <w:noProof/>
          </w:rPr>
          <w:tab/>
        </w:r>
        <w:r w:rsidR="00BD3F4B">
          <w:rPr>
            <w:noProof/>
          </w:rPr>
          <w:tab/>
        </w:r>
        <w:r w:rsidR="00BD3F4B">
          <w:rPr>
            <w:noProof/>
          </w:rPr>
          <w:tab/>
        </w:r>
        <w:r w:rsidR="00BD3F4B">
          <w:rPr>
            <w:noProof/>
          </w:rPr>
          <w:tab/>
        </w:r>
        <w:r w:rsidR="00BD3F4B">
          <w:rPr>
            <w:noProof/>
          </w:rPr>
          <w:tab/>
        </w:r>
        <w:bookmarkStart w:id="0" w:name="_GoBack"/>
        <w:bookmarkEnd w:id="0"/>
        <w:r w:rsidR="00BD3F4B">
          <w:rPr>
            <w:noProof/>
          </w:rPr>
          <w:tab/>
        </w:r>
        <w:r w:rsidR="00BD3F4B">
          <w:rPr>
            <w:noProof/>
          </w:rPr>
          <w:tab/>
        </w:r>
        <w:r w:rsidR="00BD3F4B">
          <w:rPr>
            <w:noProof/>
          </w:rPr>
          <w:tab/>
        </w:r>
        <w:r w:rsidR="00BD3F4B">
          <w:rPr>
            <w:noProof/>
          </w:rPr>
          <w:tab/>
          <w:t>© 2020 Solarity – Distribution allowed only with continued attribution to Solarity</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F0ED" w14:textId="77777777" w:rsidR="00BD3F4B" w:rsidRDefault="00BD3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0ACB0" w14:textId="77777777" w:rsidR="004B6556" w:rsidRDefault="004B6556" w:rsidP="003F1166">
      <w:pPr>
        <w:spacing w:after="0" w:line="240" w:lineRule="auto"/>
      </w:pPr>
      <w:r>
        <w:separator/>
      </w:r>
    </w:p>
  </w:footnote>
  <w:footnote w:type="continuationSeparator" w:id="0">
    <w:p w14:paraId="0ACB717F" w14:textId="77777777" w:rsidR="004B6556" w:rsidRDefault="004B6556" w:rsidP="003F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7302" w14:textId="77777777" w:rsidR="00BD3F4B" w:rsidRDefault="00BD3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D59F" w14:textId="48EC8A81" w:rsidR="003F1166" w:rsidRPr="00EA3948" w:rsidRDefault="007A382A" w:rsidP="003F1166">
    <w:pPr>
      <w:pStyle w:val="Header"/>
      <w:jc w:val="center"/>
      <w:rPr>
        <w:b/>
        <w:bCs/>
        <w:sz w:val="40"/>
        <w:szCs w:val="40"/>
      </w:rPr>
    </w:pPr>
    <w:r w:rsidRPr="00EA3948">
      <w:rPr>
        <w:b/>
        <w:bCs/>
        <w:noProof/>
        <w:sz w:val="40"/>
        <w:szCs w:val="40"/>
      </w:rPr>
      <w:drawing>
        <wp:anchor distT="0" distB="0" distL="114300" distR="114300" simplePos="0" relativeHeight="251658240" behindDoc="0" locked="0" layoutInCell="1" allowOverlap="1" wp14:anchorId="4900020A" wp14:editId="628EED72">
          <wp:simplePos x="0" y="0"/>
          <wp:positionH relativeFrom="margin">
            <wp:align>left</wp:align>
          </wp:positionH>
          <wp:positionV relativeFrom="paragraph">
            <wp:posOffset>11480</wp:posOffset>
          </wp:positionV>
          <wp:extent cx="1595126" cy="17501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arity_Logo_172U_CMYK_Print_only_red.png"/>
                  <pic:cNvPicPr/>
                </pic:nvPicPr>
                <pic:blipFill>
                  <a:blip r:embed="rId1">
                    <a:extLst>
                      <a:ext uri="{28A0092B-C50C-407E-A947-70E740481C1C}">
                        <a14:useLocalDpi xmlns:a14="http://schemas.microsoft.com/office/drawing/2010/main" val="0"/>
                      </a:ext>
                    </a:extLst>
                  </a:blip>
                  <a:stretch>
                    <a:fillRect/>
                  </a:stretch>
                </pic:blipFill>
                <pic:spPr>
                  <a:xfrm>
                    <a:off x="0" y="0"/>
                    <a:ext cx="1595126" cy="175010"/>
                  </a:xfrm>
                  <a:prstGeom prst="rect">
                    <a:avLst/>
                  </a:prstGeom>
                </pic:spPr>
              </pic:pic>
            </a:graphicData>
          </a:graphic>
          <wp14:sizeRelH relativeFrom="margin">
            <wp14:pctWidth>0</wp14:pctWidth>
          </wp14:sizeRelH>
          <wp14:sizeRelV relativeFrom="margin">
            <wp14:pctHeight>0</wp14:pctHeight>
          </wp14:sizeRelV>
        </wp:anchor>
      </w:drawing>
    </w:r>
    <w:r w:rsidR="003F1166" w:rsidRPr="00EA3948">
      <w:rPr>
        <w:b/>
        <w:bCs/>
        <w:sz w:val="40"/>
        <w:szCs w:val="40"/>
      </w:rPr>
      <w:t>Back to Work</w:t>
    </w:r>
    <w:r w:rsidR="00EA3948" w:rsidRPr="00EA3948">
      <w:rPr>
        <w:b/>
        <w:bCs/>
        <w:sz w:val="40"/>
        <w:szCs w:val="40"/>
      </w:rPr>
      <w:t xml:space="preserve"> Response and Action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53D5" w14:textId="77777777" w:rsidR="00BD3F4B" w:rsidRDefault="00BD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7060D"/>
    <w:multiLevelType w:val="multilevel"/>
    <w:tmpl w:val="0DC6C0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7515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7E76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941AAD"/>
    <w:multiLevelType w:val="multilevel"/>
    <w:tmpl w:val="0DC6C0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AA"/>
    <w:rsid w:val="000776A4"/>
    <w:rsid w:val="00077D42"/>
    <w:rsid w:val="000810CD"/>
    <w:rsid w:val="00094B7E"/>
    <w:rsid w:val="001D0533"/>
    <w:rsid w:val="001F5443"/>
    <w:rsid w:val="00205F5D"/>
    <w:rsid w:val="002155A2"/>
    <w:rsid w:val="00227A01"/>
    <w:rsid w:val="002310E5"/>
    <w:rsid w:val="002812D8"/>
    <w:rsid w:val="00291AF5"/>
    <w:rsid w:val="002A0454"/>
    <w:rsid w:val="002C6780"/>
    <w:rsid w:val="00300D47"/>
    <w:rsid w:val="00310C7F"/>
    <w:rsid w:val="00324FBD"/>
    <w:rsid w:val="0033745C"/>
    <w:rsid w:val="003811D4"/>
    <w:rsid w:val="003D66E8"/>
    <w:rsid w:val="003F1166"/>
    <w:rsid w:val="00417F90"/>
    <w:rsid w:val="00434D1A"/>
    <w:rsid w:val="004B6556"/>
    <w:rsid w:val="004F70A9"/>
    <w:rsid w:val="00503ED9"/>
    <w:rsid w:val="00520C17"/>
    <w:rsid w:val="00532C8B"/>
    <w:rsid w:val="0057485A"/>
    <w:rsid w:val="00591441"/>
    <w:rsid w:val="005F7098"/>
    <w:rsid w:val="00603D4C"/>
    <w:rsid w:val="00606B19"/>
    <w:rsid w:val="0066649B"/>
    <w:rsid w:val="006C2B30"/>
    <w:rsid w:val="006C6FAB"/>
    <w:rsid w:val="006D499D"/>
    <w:rsid w:val="00786419"/>
    <w:rsid w:val="00792A2B"/>
    <w:rsid w:val="007A382A"/>
    <w:rsid w:val="00852E3C"/>
    <w:rsid w:val="00890D38"/>
    <w:rsid w:val="0089723A"/>
    <w:rsid w:val="008A7193"/>
    <w:rsid w:val="008F4F3F"/>
    <w:rsid w:val="009571EA"/>
    <w:rsid w:val="009A22AA"/>
    <w:rsid w:val="009D6C6E"/>
    <w:rsid w:val="00A47BAB"/>
    <w:rsid w:val="00B663C3"/>
    <w:rsid w:val="00BA3BDA"/>
    <w:rsid w:val="00BD3F4B"/>
    <w:rsid w:val="00C27C5A"/>
    <w:rsid w:val="00C34CB0"/>
    <w:rsid w:val="00C42A61"/>
    <w:rsid w:val="00C760D3"/>
    <w:rsid w:val="00CC73A5"/>
    <w:rsid w:val="00CD3781"/>
    <w:rsid w:val="00D631E3"/>
    <w:rsid w:val="00D73CDD"/>
    <w:rsid w:val="00D74473"/>
    <w:rsid w:val="00DC35CE"/>
    <w:rsid w:val="00DE3FB2"/>
    <w:rsid w:val="00E11A8C"/>
    <w:rsid w:val="00E4311E"/>
    <w:rsid w:val="00E47B59"/>
    <w:rsid w:val="00E53828"/>
    <w:rsid w:val="00EA3053"/>
    <w:rsid w:val="00EA3948"/>
    <w:rsid w:val="00ED7282"/>
    <w:rsid w:val="00F162D0"/>
    <w:rsid w:val="00F22F11"/>
    <w:rsid w:val="00FE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7597"/>
  <w15:chartTrackingRefBased/>
  <w15:docId w15:val="{F258F57E-616C-431D-9B1B-F2A74E8E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166"/>
  </w:style>
  <w:style w:type="paragraph" w:styleId="Footer">
    <w:name w:val="footer"/>
    <w:basedOn w:val="Normal"/>
    <w:link w:val="FooterChar"/>
    <w:uiPriority w:val="99"/>
    <w:unhideWhenUsed/>
    <w:rsid w:val="003F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166"/>
  </w:style>
  <w:style w:type="table" w:styleId="GridTable3-Accent1">
    <w:name w:val="Grid Table 3 Accent 1"/>
    <w:basedOn w:val="TableNormal"/>
    <w:uiPriority w:val="48"/>
    <w:rsid w:val="001D053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1Light-Accent1">
    <w:name w:val="Grid Table 1 Light Accent 1"/>
    <w:basedOn w:val="TableNormal"/>
    <w:uiPriority w:val="46"/>
    <w:rsid w:val="001D053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C42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8730">
      <w:bodyDiv w:val="1"/>
      <w:marLeft w:val="0"/>
      <w:marRight w:val="0"/>
      <w:marTop w:val="0"/>
      <w:marBottom w:val="0"/>
      <w:divBdr>
        <w:top w:val="none" w:sz="0" w:space="0" w:color="auto"/>
        <w:left w:val="none" w:sz="0" w:space="0" w:color="auto"/>
        <w:bottom w:val="none" w:sz="0" w:space="0" w:color="auto"/>
        <w:right w:val="none" w:sz="0" w:space="0" w:color="auto"/>
      </w:divBdr>
    </w:div>
    <w:div w:id="709495809">
      <w:bodyDiv w:val="1"/>
      <w:marLeft w:val="0"/>
      <w:marRight w:val="0"/>
      <w:marTop w:val="0"/>
      <w:marBottom w:val="0"/>
      <w:divBdr>
        <w:top w:val="none" w:sz="0" w:space="0" w:color="auto"/>
        <w:left w:val="none" w:sz="0" w:space="0" w:color="auto"/>
        <w:bottom w:val="none" w:sz="0" w:space="0" w:color="auto"/>
        <w:right w:val="none" w:sz="0" w:space="0" w:color="auto"/>
      </w:divBdr>
    </w:div>
    <w:div w:id="766923918">
      <w:bodyDiv w:val="1"/>
      <w:marLeft w:val="0"/>
      <w:marRight w:val="0"/>
      <w:marTop w:val="0"/>
      <w:marBottom w:val="0"/>
      <w:divBdr>
        <w:top w:val="none" w:sz="0" w:space="0" w:color="auto"/>
        <w:left w:val="none" w:sz="0" w:space="0" w:color="auto"/>
        <w:bottom w:val="none" w:sz="0" w:space="0" w:color="auto"/>
        <w:right w:val="none" w:sz="0" w:space="0" w:color="auto"/>
      </w:divBdr>
    </w:div>
    <w:div w:id="16215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AAC1253A17B04E87931D0DEFC371F0" ma:contentTypeVersion="4" ma:contentTypeDescription="Create a new document." ma:contentTypeScope="" ma:versionID="be3ea46e5695bb9fdd688f8e4a33f8e2">
  <xsd:schema xmlns:xsd="http://www.w3.org/2001/XMLSchema" xmlns:xs="http://www.w3.org/2001/XMLSchema" xmlns:p="http://schemas.microsoft.com/office/2006/metadata/properties" xmlns:ns2="d0b552eb-8a9e-4ba9-a81b-564d9c9c89b0" targetNamespace="http://schemas.microsoft.com/office/2006/metadata/properties" ma:root="true" ma:fieldsID="0bf6dcda3ccd286dd4e08c1ac95a184b" ns2:_="">
    <xsd:import namespace="d0b552eb-8a9e-4ba9-a81b-564d9c9c89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552eb-8a9e-4ba9-a81b-564d9c9c8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20FB5-18C2-456B-AEC3-235D3C0183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280144-3C77-4EDA-A7A8-45D4302F2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552eb-8a9e-4ba9-a81b-564d9c9c8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5FD34-5840-4BE5-9F97-71D8930C05C0}">
  <ds:schemaRefs>
    <ds:schemaRef ds:uri="http://schemas.microsoft.com/sharepoint/v3/contenttype/forms"/>
  </ds:schemaRefs>
</ds:datastoreItem>
</file>

<file path=customXml/itemProps4.xml><?xml version="1.0" encoding="utf-8"?>
<ds:datastoreItem xmlns:ds="http://schemas.openxmlformats.org/officeDocument/2006/customXml" ds:itemID="{822037D6-50A0-4478-AA65-DA184851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 Ratliff</dc:creator>
  <cp:keywords/>
  <dc:description/>
  <cp:lastModifiedBy>Bud Ratliff</cp:lastModifiedBy>
  <cp:revision>4</cp:revision>
  <cp:lastPrinted>2020-05-22T20:31:00Z</cp:lastPrinted>
  <dcterms:created xsi:type="dcterms:W3CDTF">2020-05-23T05:26:00Z</dcterms:created>
  <dcterms:modified xsi:type="dcterms:W3CDTF">2020-05-23T06:13:00Z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0x010100B5AAC1253A17B04E87931D0DEFC371F0</vt:lpwstr>
  </property>
</Properties>
</file>